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D9F9" w14:textId="77777777" w:rsidR="006067D9" w:rsidRDefault="006067D9" w:rsidP="006067D9">
      <w:pPr>
        <w:pStyle w:val="Heading2"/>
        <w:pBdr>
          <w:top w:val="single" w:sz="4" w:space="1" w:color="auto"/>
          <w:left w:val="single" w:sz="4" w:space="4" w:color="auto"/>
          <w:bottom w:val="single" w:sz="4" w:space="1" w:color="auto"/>
          <w:right w:val="single" w:sz="4" w:space="4" w:color="auto"/>
        </w:pBdr>
        <w:spacing w:before="0"/>
        <w:rPr>
          <w:rFonts w:ascii="Times New Roman" w:hAnsi="Times New Roman" w:cs="Times New Roman"/>
          <w:color w:val="auto"/>
        </w:rPr>
      </w:pPr>
      <w:r>
        <w:rPr>
          <w:rFonts w:ascii="Times New Roman" w:hAnsi="Times New Roman" w:cs="Times New Roman"/>
          <w:color w:val="auto"/>
        </w:rPr>
        <w:t>CH1501</w:t>
      </w:r>
      <w:r>
        <w:rPr>
          <w:rFonts w:ascii="Times New Roman" w:hAnsi="Times New Roman" w:cs="Times New Roman"/>
          <w:color w:val="auto"/>
        </w:rPr>
        <w:tab/>
        <w:t>Engineering Chemistry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L-T-P- 3-0-0  Cr: 03 </w:t>
      </w:r>
    </w:p>
    <w:p w14:paraId="3A2BE286" w14:textId="77777777" w:rsidR="006067D9" w:rsidRDefault="006067D9" w:rsidP="006067D9">
      <w:pPr>
        <w:spacing w:line="240" w:lineRule="auto"/>
        <w:rPr>
          <w:b/>
          <w:sz w:val="1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6571"/>
        <w:gridCol w:w="1288"/>
      </w:tblGrid>
      <w:tr w:rsidR="006067D9" w14:paraId="1034420E" w14:textId="77777777" w:rsidTr="006067D9">
        <w:tc>
          <w:tcPr>
            <w:tcW w:w="1188" w:type="dxa"/>
            <w:hideMark/>
          </w:tcPr>
          <w:p w14:paraId="409E09F1"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Unit – 1</w:t>
            </w:r>
          </w:p>
        </w:tc>
        <w:tc>
          <w:tcPr>
            <w:tcW w:w="6750" w:type="dxa"/>
            <w:hideMark/>
          </w:tcPr>
          <w:p w14:paraId="09F04589"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Chemical and Metallic Bonding:</w:t>
            </w:r>
          </w:p>
        </w:tc>
        <w:tc>
          <w:tcPr>
            <w:tcW w:w="1298" w:type="dxa"/>
            <w:hideMark/>
          </w:tcPr>
          <w:p w14:paraId="61A84A38"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7 Lectures</w:t>
            </w:r>
          </w:p>
        </w:tc>
      </w:tr>
      <w:tr w:rsidR="006067D9" w14:paraId="0D31C0DC" w14:textId="77777777" w:rsidTr="006067D9">
        <w:tc>
          <w:tcPr>
            <w:tcW w:w="1188" w:type="dxa"/>
          </w:tcPr>
          <w:p w14:paraId="3FD6C24B" w14:textId="77777777" w:rsidR="006067D9" w:rsidRDefault="006067D9">
            <w:pPr>
              <w:pStyle w:val="Body"/>
              <w:rPr>
                <w:rFonts w:hAnsi="Times New Roman" w:cs="Times New Roman"/>
                <w:sz w:val="22"/>
                <w:szCs w:val="22"/>
                <w:lang w:eastAsia="en-US"/>
              </w:rPr>
            </w:pPr>
          </w:p>
        </w:tc>
        <w:tc>
          <w:tcPr>
            <w:tcW w:w="6750" w:type="dxa"/>
            <w:hideMark/>
          </w:tcPr>
          <w:p w14:paraId="2CE87B5B" w14:textId="77777777" w:rsidR="006067D9" w:rsidRDefault="006067D9">
            <w:pPr>
              <w:pStyle w:val="Body"/>
              <w:jc w:val="both"/>
              <w:rPr>
                <w:rFonts w:hAnsi="Times New Roman" w:cs="Times New Roman"/>
                <w:sz w:val="22"/>
                <w:szCs w:val="22"/>
                <w:lang w:eastAsia="en-US"/>
              </w:rPr>
            </w:pPr>
            <w:r>
              <w:rPr>
                <w:rFonts w:hAnsi="Times New Roman" w:cs="Times New Roman"/>
                <w:sz w:val="22"/>
                <w:szCs w:val="22"/>
                <w:lang w:eastAsia="en-US"/>
              </w:rPr>
              <w:t>Structure &amp; Bonding: Ionic, Covalent, Coordinate Bonding. Hydrogen bonding, van der Waals forces. VB Theory, Hybridization and shape of molecule, Metallic bonding and structures, Limiting radius ratio rule, Ionic compounds: AX, AX</w:t>
            </w:r>
            <w:r>
              <w:rPr>
                <w:rFonts w:hAnsi="Times New Roman" w:cs="Times New Roman"/>
                <w:sz w:val="22"/>
                <w:szCs w:val="22"/>
                <w:vertAlign w:val="subscript"/>
                <w:lang w:eastAsia="en-US"/>
              </w:rPr>
              <w:t>2</w:t>
            </w:r>
            <w:r>
              <w:rPr>
                <w:rFonts w:hAnsi="Times New Roman" w:cs="Times New Roman"/>
                <w:sz w:val="22"/>
                <w:szCs w:val="22"/>
                <w:lang w:eastAsia="en-US"/>
              </w:rPr>
              <w:t xml:space="preserve">  types, Theory of metallic bond.                                     </w:t>
            </w:r>
          </w:p>
        </w:tc>
        <w:tc>
          <w:tcPr>
            <w:tcW w:w="1298" w:type="dxa"/>
          </w:tcPr>
          <w:p w14:paraId="6DD1302B" w14:textId="77777777" w:rsidR="006067D9" w:rsidRDefault="006067D9">
            <w:pPr>
              <w:pStyle w:val="Body"/>
              <w:jc w:val="right"/>
              <w:rPr>
                <w:rFonts w:hAnsi="Times New Roman" w:cs="Times New Roman"/>
                <w:sz w:val="22"/>
                <w:szCs w:val="22"/>
                <w:lang w:eastAsia="en-US"/>
              </w:rPr>
            </w:pPr>
          </w:p>
        </w:tc>
      </w:tr>
      <w:tr w:rsidR="006067D9" w14:paraId="02A3B6CF" w14:textId="77777777" w:rsidTr="006067D9">
        <w:tc>
          <w:tcPr>
            <w:tcW w:w="1188" w:type="dxa"/>
            <w:hideMark/>
          </w:tcPr>
          <w:p w14:paraId="48C0664D"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Unit - 2</w:t>
            </w:r>
          </w:p>
        </w:tc>
        <w:tc>
          <w:tcPr>
            <w:tcW w:w="6750" w:type="dxa"/>
            <w:hideMark/>
          </w:tcPr>
          <w:p w14:paraId="18218286"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Chemical Thermodynamics:</w:t>
            </w:r>
          </w:p>
        </w:tc>
        <w:tc>
          <w:tcPr>
            <w:tcW w:w="1298" w:type="dxa"/>
            <w:hideMark/>
          </w:tcPr>
          <w:p w14:paraId="58990D65"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8 Lectures</w:t>
            </w:r>
          </w:p>
        </w:tc>
      </w:tr>
      <w:tr w:rsidR="006067D9" w14:paraId="4F26004C" w14:textId="77777777" w:rsidTr="006067D9">
        <w:tc>
          <w:tcPr>
            <w:tcW w:w="1188" w:type="dxa"/>
          </w:tcPr>
          <w:p w14:paraId="5DA8D1E1" w14:textId="77777777" w:rsidR="006067D9" w:rsidRDefault="006067D9">
            <w:pPr>
              <w:pStyle w:val="Body"/>
              <w:rPr>
                <w:rFonts w:hAnsi="Times New Roman" w:cs="Times New Roman"/>
                <w:sz w:val="22"/>
                <w:szCs w:val="22"/>
                <w:lang w:eastAsia="en-US"/>
              </w:rPr>
            </w:pPr>
          </w:p>
        </w:tc>
        <w:tc>
          <w:tcPr>
            <w:tcW w:w="6750" w:type="dxa"/>
            <w:hideMark/>
          </w:tcPr>
          <w:p w14:paraId="308884CD" w14:textId="77777777" w:rsidR="006067D9" w:rsidRDefault="006067D9">
            <w:pPr>
              <w:pStyle w:val="Body"/>
              <w:jc w:val="both"/>
              <w:rPr>
                <w:rFonts w:hAnsi="Times New Roman" w:cs="Times New Roman"/>
                <w:sz w:val="22"/>
                <w:szCs w:val="22"/>
                <w:lang w:eastAsia="en-US"/>
              </w:rPr>
            </w:pPr>
            <w:r>
              <w:rPr>
                <w:rFonts w:hAnsi="Times New Roman" w:cs="Times New Roman"/>
                <w:sz w:val="22"/>
                <w:szCs w:val="22"/>
                <w:lang w:eastAsia="en-US"/>
              </w:rPr>
              <w:t>Concept of 2</w:t>
            </w:r>
            <w:r>
              <w:rPr>
                <w:rFonts w:hAnsi="Times New Roman" w:cs="Times New Roman"/>
                <w:sz w:val="22"/>
                <w:szCs w:val="22"/>
                <w:vertAlign w:val="superscript"/>
                <w:lang w:eastAsia="en-US"/>
              </w:rPr>
              <w:t>nd</w:t>
            </w:r>
            <w:r>
              <w:rPr>
                <w:rFonts w:hAnsi="Times New Roman" w:cs="Times New Roman"/>
                <w:sz w:val="22"/>
                <w:szCs w:val="22"/>
                <w:lang w:eastAsia="en-US"/>
              </w:rPr>
              <w:t xml:space="preserve"> Law of Thermodynamics, reversible processes and Carnot cycle. Concept of entropy, entropy changes in reversible and irreversible processes, Clausius inequality. Free energy, Helmholtz and Gibbs free energy, maximum work, spontaneity and equilibrium. </w:t>
            </w:r>
          </w:p>
        </w:tc>
        <w:tc>
          <w:tcPr>
            <w:tcW w:w="1298" w:type="dxa"/>
          </w:tcPr>
          <w:p w14:paraId="005B71B6" w14:textId="77777777" w:rsidR="006067D9" w:rsidRDefault="006067D9">
            <w:pPr>
              <w:pStyle w:val="Body"/>
              <w:rPr>
                <w:rFonts w:hAnsi="Times New Roman" w:cs="Times New Roman"/>
                <w:sz w:val="22"/>
                <w:szCs w:val="22"/>
                <w:lang w:eastAsia="en-US"/>
              </w:rPr>
            </w:pPr>
          </w:p>
        </w:tc>
      </w:tr>
      <w:tr w:rsidR="006067D9" w14:paraId="721278AC" w14:textId="77777777" w:rsidTr="006067D9">
        <w:tc>
          <w:tcPr>
            <w:tcW w:w="1188" w:type="dxa"/>
            <w:hideMark/>
          </w:tcPr>
          <w:p w14:paraId="7FE651C0"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Unit - 3</w:t>
            </w:r>
          </w:p>
        </w:tc>
        <w:tc>
          <w:tcPr>
            <w:tcW w:w="6750" w:type="dxa"/>
            <w:hideMark/>
          </w:tcPr>
          <w:p w14:paraId="41DB41CA" w14:textId="77777777" w:rsidR="006067D9" w:rsidRDefault="006067D9">
            <w:pPr>
              <w:pStyle w:val="Body"/>
              <w:rPr>
                <w:rFonts w:hAnsi="Times New Roman" w:cs="Times New Roman"/>
                <w:b/>
                <w:sz w:val="22"/>
                <w:szCs w:val="22"/>
                <w:lang w:eastAsia="en-US"/>
              </w:rPr>
            </w:pPr>
            <w:r>
              <w:rPr>
                <w:b/>
                <w:lang w:eastAsia="en-US"/>
              </w:rPr>
              <w:t>Electrochemistry &amp; Corrosion of metals and its Prevention:</w:t>
            </w:r>
          </w:p>
        </w:tc>
        <w:tc>
          <w:tcPr>
            <w:tcW w:w="1298" w:type="dxa"/>
            <w:hideMark/>
          </w:tcPr>
          <w:p w14:paraId="1377B2C9"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8 Lectures</w:t>
            </w:r>
          </w:p>
        </w:tc>
      </w:tr>
      <w:tr w:rsidR="006067D9" w14:paraId="051E8D9B" w14:textId="77777777" w:rsidTr="006067D9">
        <w:tc>
          <w:tcPr>
            <w:tcW w:w="1188" w:type="dxa"/>
          </w:tcPr>
          <w:p w14:paraId="49AC4C67" w14:textId="77777777" w:rsidR="006067D9" w:rsidRDefault="006067D9">
            <w:pPr>
              <w:pStyle w:val="Body"/>
              <w:rPr>
                <w:rFonts w:hAnsi="Times New Roman" w:cs="Times New Roman"/>
                <w:sz w:val="22"/>
                <w:szCs w:val="22"/>
                <w:lang w:eastAsia="en-US"/>
              </w:rPr>
            </w:pPr>
          </w:p>
        </w:tc>
        <w:tc>
          <w:tcPr>
            <w:tcW w:w="6750" w:type="dxa"/>
            <w:hideMark/>
          </w:tcPr>
          <w:p w14:paraId="71FBF73D" w14:textId="77777777" w:rsidR="006067D9" w:rsidRDefault="006067D9">
            <w:pPr>
              <w:pStyle w:val="Body"/>
              <w:jc w:val="both"/>
              <w:rPr>
                <w:rFonts w:hAnsi="Times New Roman"/>
                <w:sz w:val="22"/>
                <w:lang w:eastAsia="en-US"/>
              </w:rPr>
            </w:pPr>
            <w:r>
              <w:rPr>
                <w:rFonts w:hAnsi="Times New Roman"/>
                <w:sz w:val="22"/>
                <w:lang w:eastAsia="en-US"/>
              </w:rPr>
              <w:t>Conductivity – Specific, molar and equivalent conductivity, Electrode potential, Galvanic cell, Nernst equation, hydrogen, calomel and glass electrode. Galvanic series, law of Dry corrosion (Parabolic, Linear, Logarithmic law). Wet Corrosion, Type of Corrosion (Pitting, Intergranular, Crevice Corrosion, Waterline Corrosion). Protective measures against corrosion by (i) modification of environment (ii) modification of metals (iii) Use of Protective  Coatings (iv) Cathodic Protection.</w:t>
            </w:r>
          </w:p>
        </w:tc>
        <w:tc>
          <w:tcPr>
            <w:tcW w:w="1298" w:type="dxa"/>
          </w:tcPr>
          <w:p w14:paraId="6A48C79C" w14:textId="77777777" w:rsidR="006067D9" w:rsidRDefault="006067D9">
            <w:pPr>
              <w:pStyle w:val="Body"/>
              <w:rPr>
                <w:rFonts w:hAnsi="Times New Roman" w:cs="Times New Roman"/>
                <w:sz w:val="22"/>
                <w:szCs w:val="22"/>
                <w:lang w:eastAsia="en-US"/>
              </w:rPr>
            </w:pPr>
          </w:p>
        </w:tc>
      </w:tr>
      <w:tr w:rsidR="006067D9" w14:paraId="1BB1EDDE" w14:textId="77777777" w:rsidTr="006067D9">
        <w:tc>
          <w:tcPr>
            <w:tcW w:w="1188" w:type="dxa"/>
            <w:hideMark/>
          </w:tcPr>
          <w:p w14:paraId="002B364C"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Unit - 4</w:t>
            </w:r>
          </w:p>
        </w:tc>
        <w:tc>
          <w:tcPr>
            <w:tcW w:w="6750" w:type="dxa"/>
            <w:hideMark/>
          </w:tcPr>
          <w:p w14:paraId="14CEC3ED"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Polymer:</w:t>
            </w:r>
          </w:p>
        </w:tc>
        <w:tc>
          <w:tcPr>
            <w:tcW w:w="1298" w:type="dxa"/>
            <w:hideMark/>
          </w:tcPr>
          <w:p w14:paraId="5B3F050F"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7 Lectures</w:t>
            </w:r>
          </w:p>
        </w:tc>
      </w:tr>
      <w:tr w:rsidR="006067D9" w14:paraId="4D6B9B08" w14:textId="77777777" w:rsidTr="006067D9">
        <w:tc>
          <w:tcPr>
            <w:tcW w:w="1188" w:type="dxa"/>
          </w:tcPr>
          <w:p w14:paraId="13FF2C67" w14:textId="77777777" w:rsidR="006067D9" w:rsidRDefault="006067D9">
            <w:pPr>
              <w:pStyle w:val="Body"/>
              <w:rPr>
                <w:rFonts w:hAnsi="Times New Roman" w:cs="Times New Roman"/>
                <w:sz w:val="22"/>
                <w:szCs w:val="22"/>
                <w:lang w:eastAsia="en-US"/>
              </w:rPr>
            </w:pPr>
          </w:p>
        </w:tc>
        <w:tc>
          <w:tcPr>
            <w:tcW w:w="6750" w:type="dxa"/>
            <w:hideMark/>
          </w:tcPr>
          <w:p w14:paraId="3F571B39" w14:textId="77777777" w:rsidR="006067D9" w:rsidRDefault="006067D9">
            <w:pPr>
              <w:pStyle w:val="Body"/>
              <w:jc w:val="both"/>
              <w:rPr>
                <w:rFonts w:hAnsi="Times New Roman" w:cs="Times New Roman"/>
                <w:sz w:val="22"/>
                <w:szCs w:val="22"/>
                <w:lang w:eastAsia="en-US"/>
              </w:rPr>
            </w:pPr>
            <w:r>
              <w:rPr>
                <w:rFonts w:hAnsi="Times New Roman" w:cs="Times New Roman"/>
                <w:sz w:val="22"/>
                <w:szCs w:val="22"/>
                <w:lang w:eastAsia="en-US"/>
              </w:rPr>
              <w:t>Polymers and their classifications, Types of Polymerisation, Determination of Molecular wt. of  Polymer. Preparation, properties, and application of important polymers. Biopolymers, Conducting polymers, and application in electronics.</w:t>
            </w:r>
          </w:p>
        </w:tc>
        <w:tc>
          <w:tcPr>
            <w:tcW w:w="1298" w:type="dxa"/>
          </w:tcPr>
          <w:p w14:paraId="0BBC2F34" w14:textId="77777777" w:rsidR="006067D9" w:rsidRDefault="006067D9">
            <w:pPr>
              <w:pStyle w:val="Body"/>
              <w:rPr>
                <w:rFonts w:hAnsi="Times New Roman" w:cs="Times New Roman"/>
                <w:sz w:val="22"/>
                <w:szCs w:val="22"/>
                <w:lang w:eastAsia="en-US"/>
              </w:rPr>
            </w:pPr>
          </w:p>
        </w:tc>
      </w:tr>
      <w:tr w:rsidR="006067D9" w14:paraId="1E6F550B" w14:textId="77777777" w:rsidTr="006067D9">
        <w:tc>
          <w:tcPr>
            <w:tcW w:w="1188" w:type="dxa"/>
            <w:hideMark/>
          </w:tcPr>
          <w:p w14:paraId="34276423"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Unit - 5</w:t>
            </w:r>
          </w:p>
        </w:tc>
        <w:tc>
          <w:tcPr>
            <w:tcW w:w="6750" w:type="dxa"/>
            <w:hideMark/>
          </w:tcPr>
          <w:p w14:paraId="66397192"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Ceramic and Refractory:</w:t>
            </w:r>
          </w:p>
        </w:tc>
        <w:tc>
          <w:tcPr>
            <w:tcW w:w="1298" w:type="dxa"/>
            <w:hideMark/>
          </w:tcPr>
          <w:p w14:paraId="44C6EC98"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7 Lectures</w:t>
            </w:r>
          </w:p>
        </w:tc>
      </w:tr>
      <w:tr w:rsidR="006067D9" w14:paraId="13D64C77" w14:textId="77777777" w:rsidTr="006067D9">
        <w:tc>
          <w:tcPr>
            <w:tcW w:w="1188" w:type="dxa"/>
          </w:tcPr>
          <w:p w14:paraId="301E47F6" w14:textId="77777777" w:rsidR="006067D9" w:rsidRDefault="006067D9">
            <w:pPr>
              <w:pStyle w:val="Body"/>
              <w:rPr>
                <w:rFonts w:hAnsi="Times New Roman" w:cs="Times New Roman"/>
                <w:sz w:val="22"/>
                <w:szCs w:val="22"/>
                <w:lang w:eastAsia="en-US"/>
              </w:rPr>
            </w:pPr>
          </w:p>
        </w:tc>
        <w:tc>
          <w:tcPr>
            <w:tcW w:w="6750" w:type="dxa"/>
            <w:hideMark/>
          </w:tcPr>
          <w:p w14:paraId="14BB6E5A" w14:textId="77777777" w:rsidR="006067D9" w:rsidRDefault="006067D9">
            <w:pPr>
              <w:pStyle w:val="Body"/>
              <w:jc w:val="both"/>
              <w:rPr>
                <w:rFonts w:hAnsi="Times New Roman" w:cs="Times New Roman"/>
                <w:sz w:val="22"/>
                <w:szCs w:val="22"/>
                <w:lang w:eastAsia="en-US"/>
              </w:rPr>
            </w:pPr>
            <w:r>
              <w:rPr>
                <w:rFonts w:hAnsi="Times New Roman" w:cs="Times New Roman"/>
                <w:sz w:val="22"/>
                <w:szCs w:val="22"/>
                <w:lang w:eastAsia="en-US"/>
              </w:rPr>
              <w:t>Material use in Ceramics, Classification and properties of ceramics. Refractories, properties and classification of refractories, measurement of refractoriness, application of refractories, composition of glass and cement, Setting of cement.</w:t>
            </w:r>
          </w:p>
        </w:tc>
        <w:tc>
          <w:tcPr>
            <w:tcW w:w="1298" w:type="dxa"/>
          </w:tcPr>
          <w:p w14:paraId="75853F32" w14:textId="77777777" w:rsidR="006067D9" w:rsidRDefault="006067D9">
            <w:pPr>
              <w:pStyle w:val="Body"/>
              <w:rPr>
                <w:rFonts w:hAnsi="Times New Roman" w:cs="Times New Roman"/>
                <w:sz w:val="22"/>
                <w:szCs w:val="22"/>
                <w:lang w:eastAsia="en-US"/>
              </w:rPr>
            </w:pPr>
          </w:p>
        </w:tc>
      </w:tr>
      <w:tr w:rsidR="006067D9" w14:paraId="04FBE692" w14:textId="77777777" w:rsidTr="006067D9">
        <w:tc>
          <w:tcPr>
            <w:tcW w:w="1188" w:type="dxa"/>
            <w:hideMark/>
          </w:tcPr>
          <w:p w14:paraId="1F4028E8"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Unit - 6</w:t>
            </w:r>
          </w:p>
        </w:tc>
        <w:tc>
          <w:tcPr>
            <w:tcW w:w="6750" w:type="dxa"/>
            <w:hideMark/>
          </w:tcPr>
          <w:p w14:paraId="7B6DFE2E"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Fundamentals of Spectroscopy:</w:t>
            </w:r>
          </w:p>
        </w:tc>
        <w:tc>
          <w:tcPr>
            <w:tcW w:w="1298" w:type="dxa"/>
            <w:hideMark/>
          </w:tcPr>
          <w:p w14:paraId="45BD29DD" w14:textId="77777777" w:rsidR="006067D9" w:rsidRDefault="006067D9">
            <w:pPr>
              <w:pStyle w:val="Body"/>
              <w:rPr>
                <w:rFonts w:hAnsi="Times New Roman" w:cs="Times New Roman"/>
                <w:b/>
                <w:sz w:val="22"/>
                <w:szCs w:val="22"/>
                <w:lang w:eastAsia="en-US"/>
              </w:rPr>
            </w:pPr>
            <w:r>
              <w:rPr>
                <w:rFonts w:hAnsi="Times New Roman" w:cs="Times New Roman"/>
                <w:b/>
                <w:sz w:val="22"/>
                <w:szCs w:val="22"/>
                <w:lang w:eastAsia="en-US"/>
              </w:rPr>
              <w:t>5 Lectures</w:t>
            </w:r>
          </w:p>
        </w:tc>
      </w:tr>
      <w:tr w:rsidR="006067D9" w14:paraId="7F15B650" w14:textId="77777777" w:rsidTr="006067D9">
        <w:tc>
          <w:tcPr>
            <w:tcW w:w="1188" w:type="dxa"/>
          </w:tcPr>
          <w:p w14:paraId="4EC91600" w14:textId="77777777" w:rsidR="006067D9" w:rsidRDefault="006067D9">
            <w:pPr>
              <w:pStyle w:val="Body"/>
              <w:rPr>
                <w:rFonts w:hAnsi="Times New Roman" w:cs="Times New Roman"/>
                <w:sz w:val="22"/>
                <w:szCs w:val="22"/>
                <w:lang w:eastAsia="en-US"/>
              </w:rPr>
            </w:pPr>
          </w:p>
        </w:tc>
        <w:tc>
          <w:tcPr>
            <w:tcW w:w="6750" w:type="dxa"/>
            <w:hideMark/>
          </w:tcPr>
          <w:p w14:paraId="135DE93A" w14:textId="77777777" w:rsidR="006067D9" w:rsidRDefault="006067D9">
            <w:pPr>
              <w:pStyle w:val="Body"/>
              <w:rPr>
                <w:rFonts w:hAnsi="Times New Roman" w:cs="Times New Roman"/>
                <w:sz w:val="22"/>
                <w:szCs w:val="22"/>
                <w:lang w:eastAsia="en-US"/>
              </w:rPr>
            </w:pPr>
            <w:r>
              <w:rPr>
                <w:rFonts w:hAnsi="Times New Roman" w:cs="Times New Roman"/>
                <w:sz w:val="22"/>
                <w:szCs w:val="22"/>
                <w:lang w:eastAsia="en-US"/>
              </w:rPr>
              <w:t>Basic concept of spectroscopy, UV-Visible and IR spectroscopy, Selection rule, Determination  of molecular structure.</w:t>
            </w:r>
          </w:p>
        </w:tc>
        <w:tc>
          <w:tcPr>
            <w:tcW w:w="1298" w:type="dxa"/>
          </w:tcPr>
          <w:p w14:paraId="14C906C7" w14:textId="77777777" w:rsidR="006067D9" w:rsidRDefault="006067D9">
            <w:pPr>
              <w:pStyle w:val="Body"/>
              <w:rPr>
                <w:rFonts w:hAnsi="Times New Roman" w:cs="Times New Roman"/>
                <w:sz w:val="22"/>
                <w:szCs w:val="22"/>
                <w:lang w:eastAsia="en-US"/>
              </w:rPr>
            </w:pPr>
          </w:p>
        </w:tc>
      </w:tr>
    </w:tbl>
    <w:p w14:paraId="7F0019D6" w14:textId="77777777" w:rsidR="006067D9" w:rsidRDefault="006067D9" w:rsidP="006067D9">
      <w:pPr>
        <w:jc w:val="both"/>
        <w:rPr>
          <w:rFonts w:ascii="Times New Roman" w:hAnsi="Times New Roman" w:cs="Times New Roman"/>
          <w:bCs/>
          <w:szCs w:val="22"/>
        </w:rPr>
      </w:pPr>
    </w:p>
    <w:p w14:paraId="41EC33D5" w14:textId="77777777" w:rsidR="006067D9" w:rsidRDefault="006067D9" w:rsidP="006067D9">
      <w:pPr>
        <w:jc w:val="both"/>
        <w:rPr>
          <w:rFonts w:ascii="Times New Roman" w:hAnsi="Times New Roman" w:cs="Times New Roman"/>
          <w:b/>
          <w:szCs w:val="22"/>
        </w:rPr>
      </w:pPr>
      <w:r>
        <w:rPr>
          <w:rFonts w:ascii="Times New Roman" w:hAnsi="Times New Roman" w:cs="Times New Roman"/>
          <w:b/>
          <w:bCs/>
          <w:szCs w:val="22"/>
        </w:rPr>
        <w:t xml:space="preserve">Texts: </w:t>
      </w:r>
    </w:p>
    <w:p w14:paraId="1D8D4D6B" w14:textId="77777777" w:rsidR="006067D9" w:rsidRDefault="006067D9" w:rsidP="006067D9">
      <w:pPr>
        <w:numPr>
          <w:ilvl w:val="0"/>
          <w:numId w:val="1"/>
        </w:numPr>
        <w:spacing w:after="0" w:line="240" w:lineRule="auto"/>
        <w:jc w:val="both"/>
        <w:rPr>
          <w:rFonts w:ascii="Times New Roman" w:hAnsi="Times New Roman" w:cs="Times New Roman"/>
          <w:szCs w:val="22"/>
        </w:rPr>
      </w:pPr>
      <w:r>
        <w:rPr>
          <w:rFonts w:ascii="Times New Roman" w:hAnsi="Times New Roman" w:cs="Times New Roman"/>
          <w:szCs w:val="22"/>
        </w:rPr>
        <w:t xml:space="preserve">Chawla, S. </w:t>
      </w:r>
      <w:r>
        <w:rPr>
          <w:rFonts w:ascii="Times New Roman" w:hAnsi="Times New Roman" w:cs="Times New Roman"/>
          <w:i/>
          <w:szCs w:val="22"/>
        </w:rPr>
        <w:t>A Textbook of Engineering Chemistry</w:t>
      </w:r>
      <w:r>
        <w:rPr>
          <w:rFonts w:ascii="Times New Roman" w:hAnsi="Times New Roman" w:cs="Times New Roman"/>
          <w:szCs w:val="22"/>
        </w:rPr>
        <w:t>, Dhanpati Rai Pubishing.</w:t>
      </w:r>
    </w:p>
    <w:p w14:paraId="50DFCFF2" w14:textId="77777777" w:rsidR="006067D9" w:rsidRDefault="006067D9" w:rsidP="006067D9">
      <w:pPr>
        <w:numPr>
          <w:ilvl w:val="0"/>
          <w:numId w:val="1"/>
        </w:numPr>
        <w:spacing w:after="0" w:line="240" w:lineRule="auto"/>
        <w:jc w:val="both"/>
        <w:rPr>
          <w:rFonts w:ascii="Times New Roman" w:eastAsia="Droid Sans Fallback" w:hAnsi="Times New Roman" w:cs="Times New Roman"/>
          <w:b/>
          <w:szCs w:val="22"/>
          <w:u w:val="single"/>
        </w:rPr>
      </w:pPr>
      <w:r>
        <w:rPr>
          <w:rFonts w:ascii="Times New Roman" w:hAnsi="Times New Roman" w:cs="Times New Roman"/>
          <w:szCs w:val="22"/>
        </w:rPr>
        <w:t xml:space="preserve">Jain, P. C., Jain, M. </w:t>
      </w:r>
      <w:r>
        <w:rPr>
          <w:rFonts w:ascii="Times New Roman" w:hAnsi="Times New Roman" w:cs="Times New Roman"/>
          <w:i/>
          <w:szCs w:val="22"/>
        </w:rPr>
        <w:t>Engineering Chemistry</w:t>
      </w:r>
      <w:r>
        <w:rPr>
          <w:rFonts w:ascii="Times New Roman" w:hAnsi="Times New Roman" w:cs="Times New Roman"/>
          <w:szCs w:val="22"/>
        </w:rPr>
        <w:t>, Dhanpati Rai Pubishing.</w:t>
      </w:r>
    </w:p>
    <w:p w14:paraId="35395B18" w14:textId="77777777" w:rsidR="006067D9" w:rsidRDefault="006067D9" w:rsidP="006067D9">
      <w:pPr>
        <w:numPr>
          <w:ilvl w:val="0"/>
          <w:numId w:val="1"/>
        </w:numPr>
        <w:spacing w:after="0" w:line="240" w:lineRule="auto"/>
        <w:jc w:val="both"/>
        <w:rPr>
          <w:rFonts w:ascii="Times New Roman" w:eastAsia="Droid Sans Fallback" w:hAnsi="Times New Roman" w:cs="Times New Roman"/>
          <w:b/>
          <w:szCs w:val="22"/>
          <w:u w:val="single"/>
        </w:rPr>
      </w:pPr>
      <w:r>
        <w:rPr>
          <w:rFonts w:ascii="Times New Roman" w:hAnsi="Times New Roman" w:cs="Times New Roman"/>
          <w:i/>
          <w:szCs w:val="22"/>
        </w:rPr>
        <w:t>Engineering Chemistry: A Textbook of Chemistry for Engineers</w:t>
      </w:r>
      <w:r>
        <w:rPr>
          <w:rFonts w:ascii="Times New Roman" w:hAnsi="Times New Roman" w:cs="Times New Roman"/>
          <w:szCs w:val="22"/>
        </w:rPr>
        <w:t>, Edited and published by Wiley-India.</w:t>
      </w:r>
    </w:p>
    <w:p w14:paraId="2A75D362"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C6DC2"/>
    <w:multiLevelType w:val="hybridMultilevel"/>
    <w:tmpl w:val="2548BEF6"/>
    <w:lvl w:ilvl="0" w:tplc="6A36F9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D9"/>
    <w:rsid w:val="003964B0"/>
    <w:rsid w:val="006067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B66"/>
  <w15:chartTrackingRefBased/>
  <w15:docId w15:val="{A3BA0072-FF5E-43B9-85BE-66110549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7D9"/>
    <w:pPr>
      <w:spacing w:line="256" w:lineRule="auto"/>
    </w:pPr>
    <w:rPr>
      <w:szCs w:val="20"/>
      <w:lang w:bidi="hi-IN"/>
    </w:rPr>
  </w:style>
  <w:style w:type="paragraph" w:styleId="Heading2">
    <w:name w:val="heading 2"/>
    <w:basedOn w:val="Normal"/>
    <w:next w:val="Normal"/>
    <w:link w:val="Heading2Char"/>
    <w:uiPriority w:val="9"/>
    <w:semiHidden/>
    <w:unhideWhenUsed/>
    <w:qFormat/>
    <w:rsid w:val="006067D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67D9"/>
    <w:rPr>
      <w:rFonts w:asciiTheme="majorHAnsi" w:eastAsiaTheme="majorEastAsia" w:hAnsiTheme="majorHAnsi" w:cstheme="majorBidi"/>
      <w:b/>
      <w:bCs/>
      <w:color w:val="4472C4" w:themeColor="accent1"/>
      <w:sz w:val="26"/>
      <w:szCs w:val="26"/>
      <w:lang w:eastAsia="en-IN"/>
    </w:rPr>
  </w:style>
  <w:style w:type="paragraph" w:customStyle="1" w:styleId="Body">
    <w:name w:val="Body"/>
    <w:rsid w:val="006067D9"/>
    <w:pPr>
      <w:spacing w:after="0" w:line="240" w:lineRule="auto"/>
    </w:pPr>
    <w:rPr>
      <w:rFonts w:ascii="Times New Roman" w:eastAsia="Arial Unicode MS" w:hAnsi="Arial Unicode MS" w:cs="Arial Unicode MS"/>
      <w:color w:val="000000"/>
      <w:sz w:val="24"/>
      <w:szCs w:val="24"/>
      <w:u w:color="000000"/>
      <w:lang w:val="en-US" w:eastAsia="en-IN"/>
    </w:rPr>
  </w:style>
  <w:style w:type="table" w:styleId="TableGrid">
    <w:name w:val="Table Grid"/>
    <w:basedOn w:val="TableNormal"/>
    <w:uiPriority w:val="59"/>
    <w:rsid w:val="006067D9"/>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2020-02-18T14:28:00Z</dcterms:created>
  <dcterms:modified xsi:type="dcterms:W3CDTF">2020-02-18T14:31:00Z</dcterms:modified>
</cp:coreProperties>
</file>